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FE43A" w14:textId="675A8F2E" w:rsid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</w:rPr>
        <w:t>Jocuri de mișcare folosite în lecția de educație fizică- clasele P-IV</w:t>
      </w:r>
    </w:p>
    <w:p w14:paraId="1337B400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</w:rPr>
      </w:pPr>
    </w:p>
    <w:p w14:paraId="5489AE02" w14:textId="1E130641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iCs/>
          <w:kern w:val="0"/>
          <w:sz w:val="24"/>
          <w:szCs w:val="24"/>
        </w:rPr>
      </w:pPr>
      <w:r w:rsidRPr="0073588C">
        <w:rPr>
          <w:rFonts w:ascii="TimesNewRomanPS-BoldMT" w:hAnsi="TimesNewRomanPS-BoldMT" w:cs="TimesNewRomanPS-BoldMT"/>
          <w:b/>
          <w:bCs/>
          <w:i/>
          <w:iCs/>
          <w:kern w:val="0"/>
          <w:sz w:val="24"/>
          <w:szCs w:val="24"/>
        </w:rPr>
        <w:t xml:space="preserve">Profesor: </w:t>
      </w:r>
      <w:proofErr w:type="spellStart"/>
      <w:r w:rsidRPr="0073588C">
        <w:rPr>
          <w:rFonts w:ascii="TimesNewRomanPS-BoldMT" w:hAnsi="TimesNewRomanPS-BoldMT" w:cs="TimesNewRomanPS-BoldMT"/>
          <w:b/>
          <w:bCs/>
          <w:i/>
          <w:iCs/>
          <w:kern w:val="0"/>
          <w:sz w:val="24"/>
          <w:szCs w:val="24"/>
        </w:rPr>
        <w:t>Vlașcu</w:t>
      </w:r>
      <w:proofErr w:type="spellEnd"/>
      <w:r w:rsidRPr="0073588C">
        <w:rPr>
          <w:rFonts w:ascii="TimesNewRomanPS-BoldMT" w:hAnsi="TimesNewRomanPS-BoldMT" w:cs="TimesNewRomanPS-BoldMT"/>
          <w:b/>
          <w:bCs/>
          <w:i/>
          <w:iCs/>
          <w:kern w:val="0"/>
          <w:sz w:val="24"/>
          <w:szCs w:val="24"/>
        </w:rPr>
        <w:t xml:space="preserve"> Cosmin-Marius</w:t>
      </w:r>
    </w:p>
    <w:p w14:paraId="57BE4C22" w14:textId="2C727747" w:rsidR="0073588C" w:rsidRDefault="0073588C" w:rsidP="0073588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iCs/>
          <w:kern w:val="0"/>
          <w:sz w:val="24"/>
          <w:szCs w:val="24"/>
        </w:rPr>
      </w:pPr>
      <w:r w:rsidRPr="0073588C">
        <w:rPr>
          <w:rFonts w:ascii="TimesNewRomanPS-BoldMT" w:hAnsi="TimesNewRomanPS-BoldMT" w:cs="TimesNewRomanPS-BoldMT"/>
          <w:b/>
          <w:bCs/>
          <w:i/>
          <w:iCs/>
          <w:kern w:val="0"/>
          <w:sz w:val="24"/>
          <w:szCs w:val="24"/>
        </w:rPr>
        <w:t>Școala Gimnazială ”Sfântul Gheorghe”,  Giurgiu</w:t>
      </w:r>
    </w:p>
    <w:p w14:paraId="3ABDD59D" w14:textId="77777777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iCs/>
          <w:kern w:val="0"/>
          <w:sz w:val="24"/>
          <w:szCs w:val="24"/>
        </w:rPr>
      </w:pPr>
    </w:p>
    <w:p w14:paraId="0E4E7BE9" w14:textId="0501A123" w:rsidR="0073588C" w:rsidRPr="00A43539" w:rsidRDefault="0073588C" w:rsidP="00A435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C00000"/>
          <w:kern w:val="0"/>
          <w:sz w:val="24"/>
          <w:szCs w:val="24"/>
          <w:u w:val="single"/>
        </w:rPr>
      </w:pPr>
      <w:r w:rsidRPr="00A43539">
        <w:rPr>
          <w:rFonts w:ascii="TimesNewRomanPS-BoldItalicMT" w:hAnsi="TimesNewRomanPS-BoldItalicMT" w:cs="TimesNewRomanPS-BoldItalicMT"/>
          <w:b/>
          <w:bCs/>
          <w:i/>
          <w:iCs/>
          <w:color w:val="C00000"/>
          <w:kern w:val="0"/>
          <w:sz w:val="24"/>
          <w:szCs w:val="24"/>
          <w:u w:val="single"/>
        </w:rPr>
        <w:t>Jocuri pentru stimularea vitezei de deplasare</w:t>
      </w:r>
    </w:p>
    <w:p w14:paraId="7E5C0786" w14:textId="77777777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  <w:proofErr w:type="spellStart"/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Pisicot</w:t>
      </w:r>
      <w:proofErr w:type="spellEnd"/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 xml:space="preserve"> </w:t>
      </w:r>
      <w:proofErr w:type="spellStart"/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şi</w:t>
      </w:r>
      <w:proofErr w:type="spellEnd"/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 xml:space="preserve"> </w:t>
      </w:r>
      <w:proofErr w:type="spellStart"/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vrăbiuţa</w:t>
      </w:r>
      <w:proofErr w:type="spellEnd"/>
    </w:p>
    <w:p w14:paraId="109FD925" w14:textId="1CD04E64" w:rsidR="0073588C" w:rsidRPr="0073588C" w:rsidRDefault="0073588C" w:rsidP="00A4353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kern w:val="0"/>
          <w:sz w:val="24"/>
          <w:szCs w:val="24"/>
          <w:u w:val="single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Locul de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desfăşurare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: terenul de sport, curtea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şcolii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, sala de sport.</w:t>
      </w:r>
    </w:p>
    <w:p w14:paraId="132A72CE" w14:textId="24945E2D" w:rsidR="0073588C" w:rsidRDefault="0073588C" w:rsidP="00A43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Copiii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participanţi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la acest joc sunt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împărţiţi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în două grupe egale, prima reprezentând 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vrăbiuţele</w:t>
      </w:r>
      <w:proofErr w:type="spellEnd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cealaltă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pisicile.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Pisicile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stau la pândă în spatele unei linii de plecare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vrăbiuţele</w:t>
      </w:r>
      <w:proofErr w:type="spellEnd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se află pe o bancă de gimnastică. În momentul când se aude ”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zbrr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”,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vrăbiile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zboară de pe bancă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aleargă într-un picior spre un semn dinainte stabilit, iar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pisicile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– imitând mersul în patru labe – încearcă să le prindă.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Vrăbiile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prinse vor fi luate în grupa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pisicilor</w:t>
      </w:r>
      <w:r>
        <w:rPr>
          <w:rFonts w:ascii="TimesNewRomanPSMT" w:hAnsi="TimesNewRomanPSMT" w:cs="TimesNewRomanPSMT"/>
          <w:kern w:val="0"/>
          <w:sz w:val="24"/>
          <w:szCs w:val="24"/>
        </w:rPr>
        <w:t>. Se repetă de un număr de ori după care se schimbă rolurile.</w:t>
      </w:r>
    </w:p>
    <w:p w14:paraId="5E82F8CA" w14:textId="77777777" w:rsidR="0073588C" w:rsidRDefault="0073588C" w:rsidP="00A43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Câştigă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echipa care 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reuşit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să prindă cele mai multe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vrăbii.</w:t>
      </w:r>
    </w:p>
    <w:p w14:paraId="3B61633C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14:paraId="618F40D0" w14:textId="77777777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  <w:proofErr w:type="spellStart"/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Zburaţi</w:t>
      </w:r>
      <w:proofErr w:type="spellEnd"/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, porumbei !</w:t>
      </w:r>
    </w:p>
    <w:p w14:paraId="4FB646D3" w14:textId="77777777" w:rsidR="0073588C" w:rsidRDefault="0073588C" w:rsidP="00A43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Loc de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desfăşurare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: curtea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şcolii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livada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şcolii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, în pădure, terenul de sport.</w:t>
      </w:r>
    </w:p>
    <w:p w14:paraId="11840278" w14:textId="470F7C57" w:rsidR="0073588C" w:rsidRDefault="0073588C" w:rsidP="00CA5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Copiii care iau parte la joc sunt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împrăştiaţi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pe un teren în formă de pătrat cu latura de 15 m. În afara terenului delimitat se găsesc diferite obstacole improvizate (pietre mari, butuci…). Conducătorul jocului recită:</w:t>
      </w:r>
    </w:p>
    <w:p w14:paraId="105F64E0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“Vrem copiii mari să crească,</w:t>
      </w:r>
    </w:p>
    <w:p w14:paraId="36ADB074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Pacea–n lume să-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nflorească</w:t>
      </w:r>
      <w:proofErr w:type="spellEnd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!”</w:t>
      </w:r>
    </w:p>
    <w:p w14:paraId="3CB6CFFC" w14:textId="539D3633" w:rsidR="0073588C" w:rsidRDefault="0073588C" w:rsidP="00A43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La auzul acestor versuri, “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porumbeii</w:t>
      </w:r>
      <w:r>
        <w:rPr>
          <w:rFonts w:ascii="TimesNewRomanPSMT" w:hAnsi="TimesNewRomanPSMT" w:cs="TimesNewRomanPSMT"/>
          <w:kern w:val="0"/>
          <w:sz w:val="24"/>
          <w:szCs w:val="24"/>
        </w:rPr>
        <w:t>” zboară pe câte un obstacol. Numărul obstacolelor va fi mai mic cu unul decât numărul jucătorilor. Porumbelul rămas fără loc va striga: “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Zburaţi</w:t>
      </w:r>
      <w:proofErr w:type="spellEnd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,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porumbei!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”.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Aceştia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se întorc, imitând zborul, la terenul de joc. Se reia cu recitarea versurilor de către conducători.</w:t>
      </w:r>
    </w:p>
    <w:p w14:paraId="4C55C239" w14:textId="77777777" w:rsidR="0073588C" w:rsidRDefault="0073588C" w:rsidP="00A43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Vor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câştiga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acei copii care nu au rămas niciodată fără loc.</w:t>
      </w:r>
    </w:p>
    <w:p w14:paraId="7EA7C725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</w:pPr>
    </w:p>
    <w:p w14:paraId="002ECD68" w14:textId="720A0228" w:rsidR="0073588C" w:rsidRPr="00A43539" w:rsidRDefault="0073588C" w:rsidP="00A435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C00000"/>
          <w:kern w:val="0"/>
          <w:sz w:val="24"/>
          <w:szCs w:val="24"/>
          <w:u w:val="single"/>
        </w:rPr>
      </w:pPr>
      <w:r w:rsidRPr="00A43539">
        <w:rPr>
          <w:rFonts w:ascii="TimesNewRomanPS-BoldItalicMT" w:hAnsi="TimesNewRomanPS-BoldItalicMT" w:cs="TimesNewRomanPS-BoldItalicMT"/>
          <w:b/>
          <w:bCs/>
          <w:i/>
          <w:iCs/>
          <w:color w:val="C00000"/>
          <w:kern w:val="0"/>
          <w:sz w:val="24"/>
          <w:szCs w:val="24"/>
          <w:u w:val="single"/>
        </w:rPr>
        <w:t>Jocuri pentru stimularea îndemânării</w:t>
      </w:r>
    </w:p>
    <w:p w14:paraId="1EEF1445" w14:textId="77777777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Gemenii</w:t>
      </w:r>
    </w:p>
    <w:p w14:paraId="60A12F57" w14:textId="57AC46E6" w:rsidR="0073588C" w:rsidRDefault="0073588C" w:rsidP="00A43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Copiii,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grupaţi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câte 2, stând lateral unul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faţă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de celălalt,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îşi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prind reciproc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braţul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interior. Pe sol sunt trasate cu creta mai multe cercuri (la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distanţa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de 0,5 m); fiecare pereche sare dintr-un cerc în altul fără a se desprinde de mâini.</w:t>
      </w:r>
    </w:p>
    <w:p w14:paraId="3A362810" w14:textId="292DE798" w:rsidR="0073588C" w:rsidRDefault="0073588C" w:rsidP="00A43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Câştigă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acea pereche care a sărit cu bine prin toate cercurile.</w:t>
      </w:r>
      <w:r w:rsidR="00A43539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Se repetă de 3-4 ori.</w:t>
      </w:r>
    </w:p>
    <w:p w14:paraId="19F1CE0B" w14:textId="77777777" w:rsidR="00A43539" w:rsidRDefault="00A43539" w:rsidP="007358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4AABB2E5" w14:textId="77777777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Pansează genunchiul</w:t>
      </w:r>
    </w:p>
    <w:p w14:paraId="68DE0986" w14:textId="3292211B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Elevii se află pe terenul de sport, cu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braţele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încrucişate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la spate,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ţinând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un cordon. Conducătorul jocului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mânuieşte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2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steguleţe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roşu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negru. La ridicarea celui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roşu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elevii aleargă pe teren cu mâinile la spate; la ridicarea celui negru, se opresc,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îşi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leagă la un genunchi cordonul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aleargă la conducătorul jocului. Cel care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soseşte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primul cu cordonul legat la genunchi este declarat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câştigător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29204CD9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Jocul se repetă de mai multe ori.</w:t>
      </w:r>
    </w:p>
    <w:p w14:paraId="33B2C0C7" w14:textId="77777777" w:rsidR="00A43539" w:rsidRDefault="00A43539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5730DB46" w14:textId="77777777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Voinicii</w:t>
      </w:r>
    </w:p>
    <w:p w14:paraId="08590059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Participă la joc 2 echipe.</w:t>
      </w:r>
    </w:p>
    <w:p w14:paraId="1B52D471" w14:textId="540DF375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Jucătorii sunt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aşezaţi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câte 2,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faţă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în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faţă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. În jurul fiecăruia dintre ei este desenată o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căsuţă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în formă de pătrat. La comanda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învăţătorului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, copiii se împing reciproc mână în mână, pentru a-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dezechilibra adversarul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pentru a-l scoate din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căsuţă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. Cel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ieşit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din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căsuţă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este penalizat cu un punct. Se repetă de 3 ori.</w:t>
      </w:r>
    </w:p>
    <w:p w14:paraId="53ACC266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Echipa care va totaliza un număr mai mare de puncte va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ieşi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învingătoare.</w:t>
      </w:r>
    </w:p>
    <w:p w14:paraId="3B3699AB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</w:pPr>
    </w:p>
    <w:p w14:paraId="18B34561" w14:textId="2A8F5EB5" w:rsidR="0073588C" w:rsidRPr="00A43539" w:rsidRDefault="0073588C" w:rsidP="00A435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C00000"/>
          <w:kern w:val="0"/>
          <w:sz w:val="24"/>
          <w:szCs w:val="24"/>
          <w:u w:val="single"/>
        </w:rPr>
      </w:pPr>
      <w:r w:rsidRPr="00A43539">
        <w:rPr>
          <w:rFonts w:ascii="TimesNewRomanPS-BoldItalicMT" w:hAnsi="TimesNewRomanPS-BoldItalicMT" w:cs="TimesNewRomanPS-BoldItalicMT"/>
          <w:b/>
          <w:bCs/>
          <w:i/>
          <w:iCs/>
          <w:color w:val="C00000"/>
          <w:kern w:val="0"/>
          <w:sz w:val="24"/>
          <w:szCs w:val="24"/>
          <w:u w:val="single"/>
        </w:rPr>
        <w:t xml:space="preserve">Jocuri pentru stimularea </w:t>
      </w:r>
      <w:proofErr w:type="spellStart"/>
      <w:r w:rsidRPr="00A43539">
        <w:rPr>
          <w:rFonts w:ascii="TimesNewRomanPS-BoldItalicMT" w:hAnsi="TimesNewRomanPS-BoldItalicMT" w:cs="TimesNewRomanPS-BoldItalicMT"/>
          <w:b/>
          <w:bCs/>
          <w:i/>
          <w:iCs/>
          <w:color w:val="C00000"/>
          <w:kern w:val="0"/>
          <w:sz w:val="24"/>
          <w:szCs w:val="24"/>
          <w:u w:val="single"/>
        </w:rPr>
        <w:t>forţei</w:t>
      </w:r>
      <w:proofErr w:type="spellEnd"/>
    </w:p>
    <w:p w14:paraId="1F5FD733" w14:textId="77777777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 xml:space="preserve">Săritura </w:t>
      </w:r>
      <w:proofErr w:type="spellStart"/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piţigoiului</w:t>
      </w:r>
      <w:proofErr w:type="spellEnd"/>
    </w:p>
    <w:p w14:paraId="114734E4" w14:textId="2442B66C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Două echipe stau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faţă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în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faţă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Piţigoii</w:t>
      </w:r>
      <w:proofErr w:type="spellEnd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au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braţele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încrucişate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la piept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sar într-un picior, unul  către celălalt, fiecare încercând să-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dezechilibreze adversarul(prin împingeri cu umărul, prin evitări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mişcări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îndemânatice). Cel care ajunge primul cu ambele picioare pe sol este luat în echipa adversă.</w:t>
      </w:r>
    </w:p>
    <w:p w14:paraId="73C4C6DF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Câştigă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echipa care mai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mulţi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piţigoi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4DF2A15E" w14:textId="77777777" w:rsidR="00A43539" w:rsidRDefault="00A43539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5F0E541E" w14:textId="77777777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  <w:proofErr w:type="spellStart"/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Şarpele</w:t>
      </w:r>
      <w:proofErr w:type="spellEnd"/>
    </w:p>
    <w:p w14:paraId="43BDED86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Elevii clasei se împart în trei echipe egale ca număr.</w:t>
      </w:r>
    </w:p>
    <w:p w14:paraId="4D0202A7" w14:textId="03BA60AF" w:rsidR="0073588C" w:rsidRDefault="0073588C" w:rsidP="00CA5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În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faţa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lor se tasează cu creta 3 cul</w:t>
      </w:r>
      <w:r w:rsidR="00CA56ED">
        <w:rPr>
          <w:rFonts w:ascii="TimesNewRomanPSMT" w:hAnsi="TimesNewRomanPSMT" w:cs="TimesNewRomanPSMT"/>
          <w:kern w:val="0"/>
          <w:sz w:val="24"/>
          <w:szCs w:val="24"/>
        </w:rPr>
        <w:t>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are pe o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distanţă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de 5-7 m. </w:t>
      </w:r>
      <w:r w:rsidR="00CA56ED">
        <w:rPr>
          <w:rFonts w:ascii="TimesNewRomanPSMT" w:hAnsi="TimesNewRomanPSMT" w:cs="TimesNewRomanPSMT"/>
          <w:kern w:val="0"/>
          <w:sz w:val="24"/>
          <w:szCs w:val="24"/>
        </w:rPr>
        <w:t>L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a comanda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pleacă,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primii iau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poziţia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culcat înainte,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braţele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la spate, cu mâinile prinse una de alta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se târăsc pe cul</w:t>
      </w:r>
      <w:r w:rsidR="00CA56ED">
        <w:rPr>
          <w:rFonts w:ascii="TimesNewRomanPSMT" w:hAnsi="TimesNewRomanPSMT" w:cs="TimesNewRomanPSMT"/>
          <w:kern w:val="0"/>
          <w:sz w:val="24"/>
          <w:szCs w:val="24"/>
        </w:rPr>
        <w:t>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arul desenat prin îndoirea trunchiului (lateral, alternativ spre stânga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spre dreapta). La capătul culoarului se ridică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aleargă la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sfârşitul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şirului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său.</w:t>
      </w:r>
    </w:p>
    <w:p w14:paraId="612CA705" w14:textId="77777777" w:rsidR="0073588C" w:rsidRDefault="0073588C" w:rsidP="00A43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Echipa a cărei jucători au executat mai repede este învingătoare.</w:t>
      </w:r>
    </w:p>
    <w:p w14:paraId="1323C2F3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0910494E" w14:textId="77777777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 xml:space="preserve">Treci pe sub </w:t>
      </w:r>
      <w:proofErr w:type="spellStart"/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clopoţel</w:t>
      </w:r>
      <w:proofErr w:type="spellEnd"/>
    </w:p>
    <w:p w14:paraId="56301CBB" w14:textId="6EF90972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Elevii sunt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împărţiţi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pe echipe cu un număr egal de jucători. Ei stau cu picioarele depărtate, trunchiul aplecat,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braţele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perpendiculare pe sol, unul după altul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cu palmele formând un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clopoţel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. La semnalul dat de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învăţător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ultimul jucător trece pe sub 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clopoţel</w:t>
      </w:r>
      <w:proofErr w:type="spellEnd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până ajunge primul din echipă. Deplasarea se face prin târâre. Următorii execută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acelaşi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lucru în continuare.</w:t>
      </w:r>
    </w:p>
    <w:p w14:paraId="0ECB18D0" w14:textId="77777777" w:rsidR="0073588C" w:rsidRDefault="0073588C" w:rsidP="00A43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Câştigă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echipa a cărei jucători au revenit la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formaţia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iniţială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în cel mai scurt timp.</w:t>
      </w:r>
    </w:p>
    <w:p w14:paraId="1F8B5AAA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</w:pPr>
    </w:p>
    <w:p w14:paraId="7390C248" w14:textId="593118EC" w:rsidR="0073588C" w:rsidRPr="00A43539" w:rsidRDefault="0073588C" w:rsidP="00A435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C00000"/>
          <w:kern w:val="0"/>
          <w:sz w:val="24"/>
          <w:szCs w:val="24"/>
          <w:u w:val="single"/>
        </w:rPr>
      </w:pPr>
      <w:r w:rsidRPr="00A43539">
        <w:rPr>
          <w:rFonts w:ascii="TimesNewRomanPS-BoldItalicMT" w:hAnsi="TimesNewRomanPS-BoldItalicMT" w:cs="TimesNewRomanPS-BoldItalicMT"/>
          <w:b/>
          <w:bCs/>
          <w:i/>
          <w:iCs/>
          <w:color w:val="C00000"/>
          <w:kern w:val="0"/>
          <w:sz w:val="24"/>
          <w:szCs w:val="24"/>
          <w:u w:val="single"/>
        </w:rPr>
        <w:t xml:space="preserve">Jocuri </w:t>
      </w:r>
      <w:proofErr w:type="spellStart"/>
      <w:r w:rsidRPr="00A43539">
        <w:rPr>
          <w:rFonts w:ascii="TimesNewRomanPS-BoldItalicMT" w:hAnsi="TimesNewRomanPS-BoldItalicMT" w:cs="TimesNewRomanPS-BoldItalicMT"/>
          <w:b/>
          <w:bCs/>
          <w:i/>
          <w:iCs/>
          <w:color w:val="C00000"/>
          <w:kern w:val="0"/>
          <w:sz w:val="24"/>
          <w:szCs w:val="24"/>
          <w:u w:val="single"/>
        </w:rPr>
        <w:t>şi</w:t>
      </w:r>
      <w:proofErr w:type="spellEnd"/>
      <w:r w:rsidRPr="00A43539">
        <w:rPr>
          <w:rFonts w:ascii="TimesNewRomanPS-BoldItalicMT" w:hAnsi="TimesNewRomanPS-BoldItalicMT" w:cs="TimesNewRomanPS-BoldItalicMT"/>
          <w:b/>
          <w:bCs/>
          <w:i/>
          <w:iCs/>
          <w:color w:val="C00000"/>
          <w:kern w:val="0"/>
          <w:sz w:val="24"/>
          <w:szCs w:val="24"/>
          <w:u w:val="single"/>
        </w:rPr>
        <w:t xml:space="preserve"> </w:t>
      </w:r>
      <w:proofErr w:type="spellStart"/>
      <w:r w:rsidRPr="00A43539">
        <w:rPr>
          <w:rFonts w:ascii="TimesNewRomanPS-BoldItalicMT" w:hAnsi="TimesNewRomanPS-BoldItalicMT" w:cs="TimesNewRomanPS-BoldItalicMT"/>
          <w:b/>
          <w:bCs/>
          <w:i/>
          <w:iCs/>
          <w:color w:val="C00000"/>
          <w:kern w:val="0"/>
          <w:sz w:val="24"/>
          <w:szCs w:val="24"/>
          <w:u w:val="single"/>
        </w:rPr>
        <w:t>ştafete</w:t>
      </w:r>
      <w:proofErr w:type="spellEnd"/>
    </w:p>
    <w:p w14:paraId="7587F24F" w14:textId="77777777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 xml:space="preserve">Sania </w:t>
      </w:r>
      <w:proofErr w:type="spellStart"/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vacanţei</w:t>
      </w:r>
      <w:proofErr w:type="spellEnd"/>
    </w:p>
    <w:p w14:paraId="7B67A9BF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Loc de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desfăşurare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: teren pe zăpadă.</w:t>
      </w:r>
    </w:p>
    <w:p w14:paraId="690C1DF9" w14:textId="77777777" w:rsidR="00A43539" w:rsidRDefault="0073588C" w:rsidP="00CA5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Elevii sunt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grupaţi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câte doi la o sanie, în spatele liniei de plecare. Un copil stă pe sanie, celălalt o trage. La semnalul de începere, elevii aleargă pe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distanţa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de 25 m, ocolesc semnul, schimbă rolurile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revin pe vechiul loc. </w:t>
      </w:r>
    </w:p>
    <w:p w14:paraId="4BC0D190" w14:textId="70257BD2" w:rsidR="0073588C" w:rsidRDefault="0073588C" w:rsidP="00A43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Câştigă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echipa care ajunge prima. La repetarea jocului, sania se poate împinge din spate.</w:t>
      </w:r>
    </w:p>
    <w:p w14:paraId="50927DBA" w14:textId="77777777" w:rsidR="0073588C" w:rsidRDefault="0073588C" w:rsidP="007358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3F346BB7" w14:textId="77777777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Zborul băncii</w:t>
      </w:r>
    </w:p>
    <w:p w14:paraId="019B0CB2" w14:textId="77777777" w:rsidR="00A43539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Se alcătuiesc mai multe echipe a câte patru copii, care stau lateral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faţă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de câte o bancă de gimnastică. La semnal, ei apucă de marginea băncii, o ridică deasupra capului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o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aşază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în partea opusă, revenind la stând. Se repetă de 5 ori, după care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executanţii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îşi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reiau locul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iniţial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prin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păşire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peste bancă. </w:t>
      </w:r>
    </w:p>
    <w:p w14:paraId="64CEBD77" w14:textId="10E6CEDF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Câştigă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echipa care termină prima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exerciţiul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7C1966B3" w14:textId="77777777" w:rsidR="00A43539" w:rsidRDefault="00A43539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6A476807" w14:textId="77777777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Banda rulantă</w:t>
      </w:r>
    </w:p>
    <w:p w14:paraId="5815A4FD" w14:textId="5830CF3F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Jucătorii,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împărţiţi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în echipe de câte 6-10 jucători, dispuse în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formaţie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şir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adoptă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poziţia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şezând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în sprijin cu mâinile pe sol. Primul jucător din fiecare echipă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primeşte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o minge, pe care o aruncă cu gleznele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făcând o rulare înapoi, o predă celui aflat în spatele său, care o preia tot cu gleznele. Mingea este astfel transmisă până la ultimul jucător, care aleargă cu ea în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faţa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echipei.</w:t>
      </w:r>
    </w:p>
    <w:p w14:paraId="516760BD" w14:textId="77777777" w:rsidR="0073588C" w:rsidRDefault="0073588C" w:rsidP="00A43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Câştigă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echipa care execută mai repede.</w:t>
      </w:r>
    </w:p>
    <w:p w14:paraId="2CFD2C32" w14:textId="77777777" w:rsidR="00A43539" w:rsidRDefault="00A43539" w:rsidP="00A43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05F722E8" w14:textId="77777777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Cucerirea mingilor</w:t>
      </w:r>
    </w:p>
    <w:p w14:paraId="72E88E86" w14:textId="2FC2124B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Se trasează trei linii paralele la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distanţă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de 10-15m. Pe cea din mijloc se pun 5-10 mingi medicinale, iar pe cele exterioare sunt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aşezate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jucării, cu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faţa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spre exterior. La semnal jucătorii aleargă, iau o minge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se înapoiază la linia de plecare. După 2-4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manşe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se numără mingile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se declară învingătoare echipa care a adunat cele mai multe mingi.</w:t>
      </w:r>
    </w:p>
    <w:p w14:paraId="0668802D" w14:textId="77777777" w:rsidR="00A43539" w:rsidRDefault="00A43539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</w:p>
    <w:p w14:paraId="5EB0AC87" w14:textId="0795519C" w:rsidR="0073588C" w:rsidRPr="0073588C" w:rsidRDefault="0073588C" w:rsidP="007358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</w:pPr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 xml:space="preserve">Lupul </w:t>
      </w:r>
      <w:proofErr w:type="spellStart"/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>şi</w:t>
      </w:r>
      <w:proofErr w:type="spellEnd"/>
      <w:r w:rsidRPr="0073588C">
        <w:rPr>
          <w:rFonts w:ascii="TimesNewRomanPS-BoldMT" w:hAnsi="TimesNewRomanPS-BoldMT" w:cs="TimesNewRomanPS-BoldMT"/>
          <w:b/>
          <w:bCs/>
          <w:color w:val="C00000"/>
          <w:kern w:val="0"/>
          <w:sz w:val="24"/>
          <w:szCs w:val="24"/>
          <w:u w:val="single"/>
        </w:rPr>
        <w:t xml:space="preserve"> oile</w:t>
      </w:r>
    </w:p>
    <w:p w14:paraId="66317669" w14:textId="77777777" w:rsidR="00CA56ED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Colectivul este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împărţit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în două echipe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aşezate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în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formaţie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şir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. </w:t>
      </w:r>
    </w:p>
    <w:p w14:paraId="5C3C705D" w14:textId="201BD119" w:rsidR="0073588C" w:rsidRDefault="0073588C" w:rsidP="0073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La semnal, primii jucători din fiecare echipă, cu o minge medicinală între glezne, se deplasează prin sărituri pe ambele picioare până la o linie situată la 10m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distanţă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, se întorc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predau mingea următorilor.</w:t>
      </w:r>
    </w:p>
    <w:p w14:paraId="05D607E4" w14:textId="12987B2E" w:rsidR="008F7DD1" w:rsidRDefault="0073588C" w:rsidP="00A43539">
      <w:pPr>
        <w:ind w:firstLine="708"/>
        <w:jc w:val="both"/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Câştigă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echipa care termină mai repede parcursul fără a scăpa mingea</w:t>
      </w:r>
      <w:r w:rsidR="00CA56ED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sectPr w:rsidR="008F7DD1" w:rsidSect="00581165">
      <w:pgSz w:w="11906" w:h="16838"/>
      <w:pgMar w:top="720" w:right="851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CA"/>
    <w:rsid w:val="003968CB"/>
    <w:rsid w:val="00581165"/>
    <w:rsid w:val="0073588C"/>
    <w:rsid w:val="008F7DD1"/>
    <w:rsid w:val="00A43539"/>
    <w:rsid w:val="00CA56ED"/>
    <w:rsid w:val="00F372BD"/>
    <w:rsid w:val="00F8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EED"/>
  <w15:chartTrackingRefBased/>
  <w15:docId w15:val="{15CCCE27-C8D1-4F6F-B5DD-9323EE58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911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Vlascu</dc:creator>
  <cp:keywords/>
  <dc:description/>
  <cp:lastModifiedBy>Veronica Vlascu</cp:lastModifiedBy>
  <cp:revision>5</cp:revision>
  <dcterms:created xsi:type="dcterms:W3CDTF">2024-03-10T18:11:00Z</dcterms:created>
  <dcterms:modified xsi:type="dcterms:W3CDTF">2024-03-10T18:46:00Z</dcterms:modified>
</cp:coreProperties>
</file>